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8A28BA" w14:textId="77777777" w:rsidR="003F08F4" w:rsidRDefault="003F08F4">
      <w:pPr>
        <w:spacing w:line="240" w:lineRule="auto"/>
        <w:rPr>
          <w:rFonts w:ascii="Noto Sans" w:eastAsia="Noto Sans" w:hAnsi="Noto Sans" w:cs="Noto Sans"/>
          <w:sz w:val="2"/>
          <w:szCs w:val="2"/>
        </w:rPr>
      </w:pPr>
    </w:p>
    <w:p w14:paraId="64CC0F7E" w14:textId="66D07403" w:rsidR="0029666B" w:rsidRPr="00DB397D" w:rsidRDefault="0029666B" w:rsidP="0029666B">
      <w:pPr>
        <w:pStyle w:val="titleconline"/>
        <w:spacing w:before="0"/>
      </w:pPr>
      <w:r w:rsidRPr="00DB397D">
        <w:rPr>
          <w:rFonts w:ascii="Roboto Slab" w:eastAsia="Roboto Slab" w:hAnsi="Roboto Slab" w:cs="Roboto Slab"/>
          <w:strike/>
          <w:color w:val="1E7E91"/>
          <w:sz w:val="2"/>
          <w:szCs w:val="2"/>
        </w:rPr>
        <w:t>39</w:t>
      </w:r>
      <w:r>
        <w:t xml:space="preserve">MLR </w:t>
      </w:r>
      <w:r>
        <w:t>7</w:t>
      </w:r>
      <w:r>
        <w:t>: How It Happens</w:t>
      </w:r>
      <w:r w:rsidRPr="00DB397D">
        <w:rPr>
          <w:i/>
          <w:iCs/>
        </w:rPr>
        <w:t xml:space="preserve"> </w:t>
      </w:r>
    </w:p>
    <w:p w14:paraId="77DE0B9E" w14:textId="22EB6FD9" w:rsidR="003F08F4" w:rsidRPr="0029666B" w:rsidRDefault="00000000" w:rsidP="0029666B">
      <w:pPr>
        <w:pStyle w:val="Heading1"/>
      </w:pPr>
      <w:r w:rsidRPr="0029666B">
        <w:rPr>
          <w:b/>
          <w:bCs/>
        </w:rPr>
        <w:t>Thought Process Visualization</w:t>
      </w:r>
      <w:r w:rsidRPr="0029666B">
        <w:t xml:space="preserve">: Have students work through a problem and create a display. </w:t>
      </w:r>
    </w:p>
    <w:p w14:paraId="1C70A14A" w14:textId="77777777" w:rsidR="003F08F4" w:rsidRDefault="00000000">
      <w:pPr>
        <w:numPr>
          <w:ilvl w:val="0"/>
          <w:numId w:val="1"/>
        </w:numPr>
        <w:shd w:val="clear" w:color="auto" w:fill="FFFFFF"/>
        <w:rPr>
          <w:rFonts w:ascii="Noto Sans" w:eastAsia="Noto Sans" w:hAnsi="Noto Sans" w:cs="Noto Sans"/>
        </w:rPr>
      </w:pPr>
      <w:r>
        <w:rPr>
          <w:rFonts w:ascii="Noto Sans" w:eastAsia="Noto Sans" w:hAnsi="Noto Sans" w:cs="Noto Sans"/>
        </w:rPr>
        <w:t xml:space="preserve">Provide problems that can be </w:t>
      </w:r>
      <w:r w:rsidRPr="00A87E47">
        <w:rPr>
          <w:rFonts w:ascii="Noto Sans" w:eastAsia="Noto Sans" w:hAnsi="Noto Sans" w:cs="Noto Sans"/>
          <w:lang w:val="en-US"/>
        </w:rPr>
        <w:t>approached</w:t>
      </w:r>
      <w:r>
        <w:rPr>
          <w:rFonts w:ascii="Noto Sans" w:eastAsia="Noto Sans" w:hAnsi="Noto Sans" w:cs="Noto Sans"/>
        </w:rPr>
        <w:t xml:space="preserve"> and solved using multiple strategies, or a situation that can be modeled using multiple representations.</w:t>
      </w:r>
    </w:p>
    <w:p w14:paraId="27E85526" w14:textId="77777777" w:rsidR="003F08F4" w:rsidRDefault="00000000">
      <w:pPr>
        <w:numPr>
          <w:ilvl w:val="0"/>
          <w:numId w:val="1"/>
        </w:numPr>
        <w:shd w:val="clear" w:color="auto" w:fill="FFFFFF"/>
        <w:rPr>
          <w:rFonts w:ascii="Noto Sans" w:eastAsia="Noto Sans" w:hAnsi="Noto Sans" w:cs="Noto Sans"/>
        </w:rPr>
      </w:pPr>
      <w:r>
        <w:rPr>
          <w:rFonts w:ascii="Noto Sans" w:eastAsia="Noto Sans" w:hAnsi="Noto Sans" w:cs="Noto Sans"/>
        </w:rPr>
        <w:t>Ask students to prepare a visual display of how they made sense of the problem and why their solution makes sense.</w:t>
      </w:r>
    </w:p>
    <w:p w14:paraId="17174E4D" w14:textId="77777777" w:rsidR="003F08F4" w:rsidRDefault="00000000">
      <w:pPr>
        <w:numPr>
          <w:ilvl w:val="0"/>
          <w:numId w:val="1"/>
        </w:numPr>
        <w:shd w:val="clear" w:color="auto" w:fill="FFFFFF"/>
        <w:rPr>
          <w:rFonts w:ascii="Noto Sans" w:eastAsia="Noto Sans" w:hAnsi="Noto Sans" w:cs="Noto Sans"/>
        </w:rPr>
      </w:pPr>
      <w:r>
        <w:rPr>
          <w:rFonts w:ascii="Noto Sans" w:eastAsia="Noto Sans" w:hAnsi="Noto Sans" w:cs="Noto Sans"/>
        </w:rPr>
        <w:t xml:space="preserve">Encourage and support variation among the representations that different students use to show their strategy. </w:t>
      </w:r>
    </w:p>
    <w:p w14:paraId="74239BFD" w14:textId="77777777" w:rsidR="003F08F4" w:rsidRDefault="00000000">
      <w:pPr>
        <w:numPr>
          <w:ilvl w:val="0"/>
          <w:numId w:val="1"/>
        </w:numPr>
        <w:shd w:val="clear" w:color="auto" w:fill="FFFFFF"/>
        <w:spacing w:after="240"/>
        <w:rPr>
          <w:rFonts w:ascii="Noto Sans" w:eastAsia="Noto Sans" w:hAnsi="Noto Sans" w:cs="Noto Sans"/>
        </w:rPr>
      </w:pPr>
      <w:r>
        <w:rPr>
          <w:rFonts w:ascii="Noto Sans" w:eastAsia="Noto Sans" w:hAnsi="Noto Sans" w:cs="Noto Sans"/>
        </w:rPr>
        <w:t>Post student visuals around the room.</w:t>
      </w:r>
    </w:p>
    <w:p w14:paraId="152425B5" w14:textId="77777777" w:rsidR="003F08F4" w:rsidRDefault="00000000" w:rsidP="0029666B">
      <w:pPr>
        <w:pStyle w:val="Heading1"/>
      </w:pPr>
      <w:r>
        <w:rPr>
          <w:b/>
          <w:bCs/>
        </w:rPr>
        <w:t>Comparison:</w:t>
      </w:r>
      <w:r>
        <w:rPr>
          <w:color w:val="5E6062"/>
        </w:rPr>
        <w:t xml:space="preserve"> </w:t>
      </w:r>
      <w:r>
        <w:t xml:space="preserve">Tour the visual displays and discuss the various approaches. </w:t>
      </w:r>
    </w:p>
    <w:p w14:paraId="26C760B4" w14:textId="77777777" w:rsidR="003F08F4" w:rsidRDefault="00000000">
      <w:pPr>
        <w:numPr>
          <w:ilvl w:val="0"/>
          <w:numId w:val="1"/>
        </w:numPr>
        <w:shd w:val="clear" w:color="auto" w:fill="FFFFFF"/>
        <w:rPr>
          <w:rFonts w:ascii="Noto Sans" w:eastAsia="Noto Sans" w:hAnsi="Noto Sans" w:cs="Noto Sans"/>
        </w:rPr>
      </w:pPr>
      <w:r>
        <w:rPr>
          <w:rFonts w:ascii="Noto Sans" w:eastAsia="Noto Sans" w:hAnsi="Noto Sans" w:cs="Noto Sans"/>
        </w:rPr>
        <w:t xml:space="preserve">Permit self-guided tours, a “travelers and tellers” format, or take on the role </w:t>
      </w:r>
      <w:proofErr w:type="gramStart"/>
      <w:r>
        <w:rPr>
          <w:rFonts w:ascii="Noto Sans" w:eastAsia="Noto Sans" w:hAnsi="Noto Sans" w:cs="Noto Sans"/>
        </w:rPr>
        <w:t>of  “</w:t>
      </w:r>
      <w:proofErr w:type="gramEnd"/>
      <w:r>
        <w:rPr>
          <w:rFonts w:ascii="Noto Sans" w:eastAsia="Noto Sans" w:hAnsi="Noto Sans" w:cs="Noto Sans"/>
        </w:rPr>
        <w:t>docent”.</w:t>
      </w:r>
    </w:p>
    <w:p w14:paraId="49D5ABF6" w14:textId="77777777" w:rsidR="003F08F4" w:rsidRDefault="00000000">
      <w:pPr>
        <w:numPr>
          <w:ilvl w:val="1"/>
          <w:numId w:val="1"/>
        </w:numPr>
        <w:shd w:val="clear" w:color="auto" w:fill="FFFFFF"/>
        <w:rPr>
          <w:rFonts w:ascii="Noto Sans" w:eastAsia="Noto Sans" w:hAnsi="Noto Sans" w:cs="Noto Sans"/>
        </w:rPr>
      </w:pPr>
      <w:r>
        <w:rPr>
          <w:rFonts w:ascii="Noto Sans" w:eastAsia="Noto Sans" w:hAnsi="Noto Sans" w:cs="Noto Sans"/>
        </w:rPr>
        <w:t>As a docent, provide questions for students to ask of each other, pointing out important mathematical features and facilitating comparisons.</w:t>
      </w:r>
    </w:p>
    <w:p w14:paraId="2532DCA7" w14:textId="77777777" w:rsidR="003F08F4" w:rsidRDefault="00000000">
      <w:pPr>
        <w:numPr>
          <w:ilvl w:val="0"/>
          <w:numId w:val="1"/>
        </w:numPr>
        <w:shd w:val="clear" w:color="auto" w:fill="FFFFFF"/>
        <w:rPr>
          <w:rFonts w:ascii="Noto Sans" w:eastAsia="Noto Sans" w:hAnsi="Noto Sans" w:cs="Noto Sans"/>
        </w:rPr>
      </w:pPr>
      <w:r>
        <w:rPr>
          <w:rFonts w:ascii="Noto Sans" w:eastAsia="Noto Sans" w:hAnsi="Noto Sans" w:cs="Noto Sans"/>
        </w:rPr>
        <w:t>Urge comparisons about the typical structures, purposes, and affordances of the different approaches or representations, asking:</w:t>
      </w:r>
    </w:p>
    <w:p w14:paraId="2B47B5CE" w14:textId="77777777" w:rsidR="003F08F4" w:rsidRDefault="00000000">
      <w:pPr>
        <w:numPr>
          <w:ilvl w:val="1"/>
          <w:numId w:val="1"/>
        </w:numPr>
        <w:shd w:val="clear" w:color="auto" w:fill="FFFFFF"/>
        <w:rPr>
          <w:rFonts w:ascii="Noto Sans" w:eastAsia="Noto Sans" w:hAnsi="Noto Sans" w:cs="Noto Sans"/>
        </w:rPr>
      </w:pPr>
      <w:r>
        <w:rPr>
          <w:rFonts w:ascii="Noto Sans" w:eastAsia="Noto Sans" w:hAnsi="Noto Sans" w:cs="Noto Sans"/>
        </w:rPr>
        <w:t>What worked well in this or that approach?</w:t>
      </w:r>
    </w:p>
    <w:p w14:paraId="79167015" w14:textId="77777777" w:rsidR="003F08F4" w:rsidRDefault="00000000">
      <w:pPr>
        <w:numPr>
          <w:ilvl w:val="1"/>
          <w:numId w:val="1"/>
        </w:numPr>
        <w:shd w:val="clear" w:color="auto" w:fill="FFFFFF"/>
        <w:rPr>
          <w:rFonts w:ascii="Noto Sans" w:eastAsia="Noto Sans" w:hAnsi="Noto Sans" w:cs="Noto Sans"/>
        </w:rPr>
      </w:pPr>
      <w:r>
        <w:rPr>
          <w:rFonts w:ascii="Noto Sans" w:eastAsia="Noto Sans" w:hAnsi="Noto Sans" w:cs="Noto Sans"/>
        </w:rPr>
        <w:t>What is especially clear in this or that representation?</w:t>
      </w:r>
    </w:p>
    <w:p w14:paraId="6CD6C412" w14:textId="77777777" w:rsidR="003F08F4" w:rsidRDefault="00000000">
      <w:pPr>
        <w:numPr>
          <w:ilvl w:val="0"/>
          <w:numId w:val="1"/>
        </w:numPr>
        <w:shd w:val="clear" w:color="auto" w:fill="FFFFFF"/>
        <w:spacing w:after="240"/>
        <w:rPr>
          <w:rFonts w:ascii="Noto Sans" w:eastAsia="Noto Sans" w:hAnsi="Noto Sans" w:cs="Noto Sans"/>
        </w:rPr>
      </w:pPr>
      <w:r>
        <w:rPr>
          <w:rFonts w:ascii="Noto Sans" w:eastAsia="Noto Sans" w:hAnsi="Noto Sans" w:cs="Noto Sans"/>
        </w:rPr>
        <w:t>Listen for and amplify any comments about what might make an approach or representation more complete or easier to understand.</w:t>
      </w:r>
    </w:p>
    <w:p w14:paraId="062CDCDB" w14:textId="70FC879C" w:rsidR="003F08F4" w:rsidRDefault="00000000" w:rsidP="0029666B">
      <w:pPr>
        <w:pStyle w:val="Heading1"/>
      </w:pPr>
      <w:r>
        <w:rPr>
          <w:b/>
          <w:bCs/>
        </w:rPr>
        <w:t xml:space="preserve">Connect: </w:t>
      </w:r>
      <w:r>
        <w:t>Conduct a discussion identifying correspondences between different representations.</w:t>
      </w:r>
    </w:p>
    <w:p w14:paraId="022169D8" w14:textId="77777777" w:rsidR="003F08F4" w:rsidRDefault="00000000">
      <w:pPr>
        <w:numPr>
          <w:ilvl w:val="0"/>
          <w:numId w:val="1"/>
        </w:numPr>
        <w:shd w:val="clear" w:color="auto" w:fill="FFFFFF"/>
        <w:rPr>
          <w:rFonts w:ascii="Noto Sans" w:eastAsia="Noto Sans" w:hAnsi="Noto Sans" w:cs="Noto Sans"/>
        </w:rPr>
      </w:pPr>
      <w:r>
        <w:rPr>
          <w:rFonts w:ascii="Noto Sans" w:eastAsia="Noto Sans" w:hAnsi="Noto Sans" w:cs="Noto Sans"/>
        </w:rPr>
        <w:t>Prompt students to find correspondences in the different appearances of mathematical relationships, operations, quantities, or values.</w:t>
      </w:r>
    </w:p>
    <w:p w14:paraId="56E6445B" w14:textId="77777777" w:rsidR="003F08F4" w:rsidRDefault="00000000">
      <w:pPr>
        <w:numPr>
          <w:ilvl w:val="0"/>
          <w:numId w:val="1"/>
        </w:numPr>
        <w:shd w:val="clear" w:color="auto" w:fill="FFFFFF"/>
        <w:rPr>
          <w:rFonts w:ascii="Noto Sans" w:eastAsia="Noto Sans" w:hAnsi="Noto Sans" w:cs="Noto Sans"/>
        </w:rPr>
      </w:pPr>
      <w:r>
        <w:rPr>
          <w:rFonts w:ascii="Noto Sans" w:eastAsia="Noto Sans" w:hAnsi="Noto Sans" w:cs="Noto Sans"/>
        </w:rPr>
        <w:t>Guide students to refer to each other’s thinking by asking them to make connections between specific features of expressions, tables, graphs, diagrams, words, and other representations of the same mathematical situation.</w:t>
      </w:r>
    </w:p>
    <w:p w14:paraId="5AD93C70" w14:textId="77777777" w:rsidR="003F08F4" w:rsidRDefault="00000000">
      <w:pPr>
        <w:numPr>
          <w:ilvl w:val="0"/>
          <w:numId w:val="1"/>
        </w:numPr>
        <w:shd w:val="clear" w:color="auto" w:fill="FFFFFF"/>
        <w:rPr>
          <w:rFonts w:ascii="Noto Sans" w:eastAsia="Noto Sans" w:hAnsi="Noto Sans" w:cs="Noto Sans"/>
        </w:rPr>
      </w:pPr>
      <w:r>
        <w:rPr>
          <w:rFonts w:ascii="Noto Sans" w:eastAsia="Noto Sans" w:hAnsi="Noto Sans" w:cs="Noto Sans"/>
        </w:rPr>
        <w:t>Amplify language students use to communicate about mathematical features that are important for solving the problem or modeling the situation.</w:t>
      </w:r>
    </w:p>
    <w:p w14:paraId="5AF07C50" w14:textId="77777777" w:rsidR="003F08F4" w:rsidRDefault="00000000">
      <w:pPr>
        <w:numPr>
          <w:ilvl w:val="0"/>
          <w:numId w:val="1"/>
        </w:numPr>
        <w:shd w:val="clear" w:color="auto" w:fill="FFFFFF"/>
        <w:spacing w:after="240"/>
        <w:rPr>
          <w:rFonts w:ascii="Noto Sans" w:eastAsia="Noto Sans" w:hAnsi="Noto Sans" w:cs="Noto Sans"/>
        </w:rPr>
      </w:pPr>
      <w:r>
        <w:rPr>
          <w:rFonts w:ascii="Noto Sans" w:eastAsia="Noto Sans" w:hAnsi="Noto Sans" w:cs="Noto Sans"/>
        </w:rPr>
        <w:t>Call attention to the similarities and differences between the ways those features appear.</w:t>
      </w:r>
    </w:p>
    <w:sectPr w:rsidR="003F08F4">
      <w:headerReference w:type="first" r:id="rId8"/>
      <w:footerReference w:type="first" r:id="rId9"/>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20B80E" w14:textId="77777777" w:rsidR="00DA49ED" w:rsidRDefault="00DA49ED">
      <w:pPr>
        <w:spacing w:line="240" w:lineRule="auto"/>
      </w:pPr>
      <w:r>
        <w:separator/>
      </w:r>
    </w:p>
  </w:endnote>
  <w:endnote w:type="continuationSeparator" w:id="0">
    <w:p w14:paraId="18CBB48E" w14:textId="77777777" w:rsidR="00DA49ED" w:rsidRDefault="00DA49E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CF457677-4A86-9342-8EA3-CA905C607F3E}"/>
    <w:embedBold r:id="rId2" w:fontKey="{5DCC4655-48DC-BA4F-9FF1-20F84784FF3A}"/>
    <w:embedBoldItalic r:id="rId3" w:fontKey="{30334906-DA16-5546-8DD1-881F869902E7}"/>
  </w:font>
  <w:font w:name="Arial">
    <w:panose1 w:val="020B0604020202020204"/>
    <w:charset w:val="00"/>
    <w:family w:val="swiss"/>
    <w:pitch w:val="variable"/>
    <w:sig w:usb0="E0002AFF" w:usb1="C0007843" w:usb2="00000009" w:usb3="00000000" w:csb0="000001FF" w:csb1="00000000"/>
    <w:embedRegular r:id="rId4" w:fontKey="{2BB1630F-DC48-0B42-84F5-4FDC75F862E2}"/>
    <w:embedItalic r:id="rId5" w:fontKey="{5E8568D1-0598-A64D-A93D-B7542FEDE00F}"/>
  </w:font>
  <w:font w:name="Noto Sans">
    <w:panose1 w:val="020B0502040504020204"/>
    <w:charset w:val="00"/>
    <w:family w:val="swiss"/>
    <w:pitch w:val="variable"/>
    <w:sig w:usb0="E00002FF" w:usb1="4000201F" w:usb2="08000029" w:usb3="00000000" w:csb0="0000019F" w:csb1="00000000"/>
    <w:embedRegular r:id="rId6" w:fontKey="{546FF814-F10F-CC42-A10D-541B528D5DFE}"/>
    <w:embedBold r:id="rId7" w:fontKey="{0E2C8B48-ADB2-0F45-ACC5-2AE9EDDE70DA}"/>
    <w:embedItalic r:id="rId8" w:fontKey="{ACD80A4D-9491-424B-B788-4DFF33AC0F96}"/>
    <w:embedBoldItalic r:id="rId9" w:fontKey="{81EBFF23-AC25-4C4F-A69F-6704969A444E}"/>
  </w:font>
  <w:font w:name="Roboto Slab">
    <w:panose1 w:val="00000000000000000000"/>
    <w:charset w:val="00"/>
    <w:family w:val="auto"/>
    <w:pitch w:val="variable"/>
    <w:sig w:usb0="000004FF" w:usb1="8000405F" w:usb2="00000022" w:usb3="00000000" w:csb0="0000019F" w:csb1="00000000"/>
    <w:embedBold r:id="rId10" w:fontKey="{26AF0C27-94D3-5E4C-A4A8-4B217E7EDB0E}"/>
  </w:font>
  <w:font w:name="Calibri">
    <w:panose1 w:val="020F0502020204030204"/>
    <w:charset w:val="00"/>
    <w:family w:val="swiss"/>
    <w:pitch w:val="variable"/>
    <w:sig w:usb0="E0002AFF" w:usb1="C000247B" w:usb2="00000009" w:usb3="00000000" w:csb0="000001FF" w:csb1="00000000"/>
    <w:embedRegular r:id="rId11" w:fontKey="{BE59029C-CE74-0A4E-B6CE-AFF76781E1C9}"/>
  </w:font>
  <w:font w:name="Cambria">
    <w:panose1 w:val="02040503050406030204"/>
    <w:charset w:val="00"/>
    <w:family w:val="roman"/>
    <w:pitch w:val="variable"/>
    <w:sig w:usb0="E00002FF" w:usb1="400004FF" w:usb2="00000000" w:usb3="00000000" w:csb0="0000019F" w:csb1="00000000"/>
    <w:embedRegular r:id="rId12" w:fontKey="{759819AA-73C0-5F40-A410-03AE8BC266C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DC469" w14:textId="77777777" w:rsidR="00402FA6" w:rsidRDefault="00402FA6" w:rsidP="00402FA6">
    <w:proofErr w:type="spellStart"/>
    <w:r>
      <w:t>Openstax</w:t>
    </w:r>
    <w:proofErr w:type="spellEnd"/>
    <w:r>
      <w:t xml:space="preserve"> CC BY NC SA</w:t>
    </w:r>
  </w:p>
  <w:p w14:paraId="1C55AD58" w14:textId="77777777" w:rsidR="003F08F4" w:rsidRDefault="00000000">
    <w:pPr>
      <w:rPr>
        <w:rFonts w:ascii="Noto Sans" w:eastAsia="Noto Sans" w:hAnsi="Noto Sans" w:cs="Noto Sans"/>
        <w:i/>
        <w:iCs/>
        <w:color w:val="999999"/>
        <w:sz w:val="16"/>
        <w:szCs w:val="16"/>
      </w:rPr>
    </w:pPr>
    <w:r>
      <w:rPr>
        <w:rFonts w:ascii="Noto Sans" w:eastAsia="Noto Sans" w:hAnsi="Noto Sans" w:cs="Noto Sans"/>
        <w:i/>
        <w:iCs/>
        <w:color w:val="757575"/>
        <w:sz w:val="18"/>
        <w:szCs w:val="18"/>
      </w:rPr>
      <w:t>MLR for Algebra 1, brought to you by OpenStax</w:t>
    </w:r>
    <w:r>
      <w:rPr>
        <w:rFonts w:ascii="Noto Sans" w:eastAsia="Noto Sans" w:hAnsi="Noto Sans" w:cs="Noto Sans"/>
        <w:color w:val="757575"/>
        <w:sz w:val="18"/>
        <w:szCs w:val="18"/>
      </w:rPr>
      <w:t xml:space="preserve"> </w:t>
    </w:r>
    <w:r>
      <w:rPr>
        <w:rFonts w:ascii="Noto Sans" w:eastAsia="Noto Sans" w:hAnsi="Noto Sans" w:cs="Noto Sans"/>
        <w:i/>
        <w:iCs/>
        <w:color w:val="757575"/>
        <w:sz w:val="16"/>
        <w:szCs w:val="16"/>
      </w:rPr>
      <w:tab/>
    </w:r>
    <w:r>
      <w:rPr>
        <w:rFonts w:ascii="Noto Sans" w:eastAsia="Noto Sans" w:hAnsi="Noto Sans" w:cs="Noto Sans"/>
        <w:i/>
        <w:iCs/>
        <w:color w:val="757575"/>
        <w:sz w:val="16"/>
        <w:szCs w:val="16"/>
      </w:rPr>
      <w:tab/>
    </w:r>
    <w:r>
      <w:rPr>
        <w:rFonts w:ascii="Noto Sans" w:eastAsia="Noto Sans" w:hAnsi="Noto Sans" w:cs="Noto Sans"/>
        <w:i/>
        <w:iCs/>
        <w:color w:val="757575"/>
        <w:sz w:val="18"/>
        <w:szCs w:val="18"/>
      </w:rPr>
      <w:t xml:space="preserve">Authored by </w:t>
    </w:r>
    <w:proofErr w:type="spellStart"/>
    <w:r>
      <w:rPr>
        <w:rFonts w:ascii="Noto Sans" w:eastAsia="Noto Sans" w:hAnsi="Noto Sans" w:cs="Noto Sans"/>
        <w:i/>
        <w:iCs/>
        <w:color w:val="757575"/>
        <w:sz w:val="18"/>
        <w:szCs w:val="18"/>
      </w:rPr>
      <w:t>Openstax</w:t>
    </w:r>
    <w:proofErr w:type="spellEnd"/>
    <w:r>
      <w:rPr>
        <w:rFonts w:ascii="Noto Sans" w:eastAsia="Noto Sans" w:hAnsi="Noto Sans" w:cs="Noto Sans"/>
        <w:i/>
        <w:iCs/>
        <w:color w:val="757575"/>
        <w:sz w:val="18"/>
        <w:szCs w:val="18"/>
      </w:rPr>
      <w:t xml:space="preserve"> from Illustrative Mathematics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769CB9" w14:textId="77777777" w:rsidR="00DA49ED" w:rsidRDefault="00DA49ED">
      <w:pPr>
        <w:spacing w:line="240" w:lineRule="auto"/>
      </w:pPr>
      <w:r>
        <w:separator/>
      </w:r>
    </w:p>
  </w:footnote>
  <w:footnote w:type="continuationSeparator" w:id="0">
    <w:p w14:paraId="34FBC042" w14:textId="77777777" w:rsidR="00DA49ED" w:rsidRDefault="00DA49E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F10AF" w14:textId="7E90E17B" w:rsidR="003F08F4" w:rsidRDefault="00402FA6">
    <w:pPr>
      <w:tabs>
        <w:tab w:val="center" w:pos="4680"/>
        <w:tab w:val="right" w:pos="9360"/>
      </w:tabs>
      <w:spacing w:line="240" w:lineRule="auto"/>
      <w:rPr>
        <w:rFonts w:ascii="Noto Sans" w:eastAsia="Noto Sans" w:hAnsi="Noto Sans" w:cs="Noto Sans"/>
      </w:rPr>
    </w:pPr>
    <w:r>
      <w:rPr>
        <w:noProof/>
      </w:rPr>
      <w:drawing>
        <wp:inline distT="114300" distB="114300" distL="114300" distR="114300" wp14:anchorId="1727237F" wp14:editId="3208539B">
          <wp:extent cx="5943600" cy="635000"/>
          <wp:effectExtent l="0" t="0" r="0" b="0"/>
          <wp:docPr id="1648544566" name="image2.png" descr="Rice and OpenStax logos"/>
          <wp:cNvGraphicFramePr/>
          <a:graphic xmlns:a="http://schemas.openxmlformats.org/drawingml/2006/main">
            <a:graphicData uri="http://schemas.openxmlformats.org/drawingml/2006/picture">
              <pic:pic xmlns:pic="http://schemas.openxmlformats.org/drawingml/2006/picture">
                <pic:nvPicPr>
                  <pic:cNvPr id="0" name="image2.png" descr="Rice and OpenStax logos"/>
                  <pic:cNvPicPr preferRelativeResize="0"/>
                </pic:nvPicPr>
                <pic:blipFill>
                  <a:blip r:embed="rId1"/>
                  <a:srcRect/>
                  <a:stretch>
                    <a:fillRect/>
                  </a:stretch>
                </pic:blipFill>
                <pic:spPr>
                  <a:xfrm>
                    <a:off x="0" y="0"/>
                    <a:ext cx="5943600" cy="63500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0A783D"/>
    <w:multiLevelType w:val="multilevel"/>
    <w:tmpl w:val="417469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9570243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08F4"/>
    <w:rsid w:val="0029666B"/>
    <w:rsid w:val="00371CD1"/>
    <w:rsid w:val="003F08F4"/>
    <w:rsid w:val="00402FA6"/>
    <w:rsid w:val="00A87E47"/>
    <w:rsid w:val="00DA49ED"/>
    <w:rsid w:val="00F015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5CADBDC"/>
  <w15:docId w15:val="{FF0BAAFB-D814-224A-8090-226FDCB5DA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rsid w:val="0029666B"/>
    <w:pPr>
      <w:shd w:val="clear" w:color="auto" w:fill="FFFFFF"/>
      <w:spacing w:before="200"/>
      <w:outlineLvl w:val="0"/>
    </w:pPr>
    <w:rPr>
      <w:rFonts w:ascii="Noto Sans" w:eastAsia="Noto Sans" w:hAnsi="Noto Sans" w:cs="Noto Sans"/>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Pr>
  </w:style>
  <w:style w:type="paragraph" w:styleId="Header">
    <w:name w:val="header"/>
    <w:basedOn w:val="Normal"/>
    <w:link w:val="HeaderChar"/>
    <w:uiPriority w:val="99"/>
    <w:unhideWhenUsed/>
    <w:rsid w:val="00402FA6"/>
    <w:pPr>
      <w:tabs>
        <w:tab w:val="center" w:pos="4680"/>
        <w:tab w:val="right" w:pos="9360"/>
      </w:tabs>
      <w:spacing w:line="240" w:lineRule="auto"/>
    </w:pPr>
  </w:style>
  <w:style w:type="character" w:customStyle="1" w:styleId="HeaderChar">
    <w:name w:val="Header Char"/>
    <w:basedOn w:val="DefaultParagraphFont"/>
    <w:link w:val="Header"/>
    <w:uiPriority w:val="99"/>
    <w:rsid w:val="00402FA6"/>
  </w:style>
  <w:style w:type="paragraph" w:styleId="Footer">
    <w:name w:val="footer"/>
    <w:basedOn w:val="Normal"/>
    <w:link w:val="FooterChar"/>
    <w:uiPriority w:val="99"/>
    <w:unhideWhenUsed/>
    <w:rsid w:val="00402FA6"/>
    <w:pPr>
      <w:tabs>
        <w:tab w:val="center" w:pos="4680"/>
        <w:tab w:val="right" w:pos="9360"/>
      </w:tabs>
      <w:spacing w:line="240" w:lineRule="auto"/>
    </w:pPr>
  </w:style>
  <w:style w:type="character" w:customStyle="1" w:styleId="FooterChar">
    <w:name w:val="Footer Char"/>
    <w:basedOn w:val="DefaultParagraphFont"/>
    <w:link w:val="Footer"/>
    <w:uiPriority w:val="99"/>
    <w:rsid w:val="00402FA6"/>
  </w:style>
  <w:style w:type="paragraph" w:customStyle="1" w:styleId="titleconline">
    <w:name w:val="title con line"/>
    <w:basedOn w:val="Title"/>
    <w:qFormat/>
    <w:rsid w:val="0029666B"/>
    <w:pPr>
      <w:keepNext w:val="0"/>
      <w:keepLines w:val="0"/>
      <w:pBdr>
        <w:top w:val="single" w:sz="12" w:space="3" w:color="999999"/>
        <w:bottom w:val="single" w:sz="12" w:space="3" w:color="999999"/>
      </w:pBdr>
      <w:spacing w:before="240" w:after="80"/>
      <w:contextualSpacing/>
      <w:jc w:val="center"/>
    </w:pPr>
    <w:rPr>
      <w:rFonts w:ascii="Noto Sans" w:eastAsiaTheme="majorEastAsia" w:hAnsi="Noto Sans" w:cs="Noto Sans"/>
      <w:b/>
      <w:bCs/>
      <w:color w:val="0A5B50"/>
      <w:spacing w:val="-10"/>
      <w:kern w:val="28"/>
      <w:sz w:val="32"/>
      <w:szCs w:val="32"/>
      <w:lang w:val="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2947B4-372C-1E4C-AC8E-31C192F0AB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278</Words>
  <Characters>1596</Characters>
  <Application>Microsoft Office Word</Application>
  <DocSecurity>0</DocSecurity>
  <Lines>33</Lines>
  <Paragraphs>20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1854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MLR 7 How It Happens</dc:title>
  <dc:subject/>
  <dc:creator>Maddie Tong</dc:creator>
  <cp:keywords/>
  <dc:description/>
  <cp:lastModifiedBy>Maddie Tong</cp:lastModifiedBy>
  <cp:revision>3</cp:revision>
  <dcterms:created xsi:type="dcterms:W3CDTF">2026-02-26T20:23:00Z</dcterms:created>
  <dcterms:modified xsi:type="dcterms:W3CDTF">2026-02-26T20:23:00Z</dcterms:modified>
  <cp:category/>
</cp:coreProperties>
</file>