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663BB" w14:textId="77777777" w:rsidR="00DA310D" w:rsidRPr="006C720D" w:rsidRDefault="00DA310D">
      <w:pPr>
        <w:spacing w:line="240" w:lineRule="auto"/>
        <w:rPr>
          <w:sz w:val="2"/>
          <w:szCs w:val="2"/>
          <w:lang w:val="en-US"/>
        </w:rPr>
      </w:pPr>
    </w:p>
    <w:p w14:paraId="500C37DD" w14:textId="6A92DDAC" w:rsidR="00597943" w:rsidRPr="006C720D" w:rsidRDefault="00597943" w:rsidP="00597943">
      <w:pPr>
        <w:pStyle w:val="titleconline"/>
        <w:spacing w:before="0"/>
      </w:pPr>
      <w:r w:rsidRPr="006C720D">
        <w:rPr>
          <w:rFonts w:ascii="Roboto Slab" w:eastAsia="Roboto Slab" w:hAnsi="Roboto Slab" w:cs="Roboto Slab"/>
          <w:strike/>
          <w:color w:val="1E7E91"/>
          <w:sz w:val="2"/>
          <w:szCs w:val="2"/>
        </w:rPr>
        <w:t>39</w:t>
      </w:r>
      <w:r w:rsidRPr="006C720D">
        <w:t xml:space="preserve">MLR </w:t>
      </w:r>
      <w:r w:rsidRPr="006C720D">
        <w:t>6</w:t>
      </w:r>
      <w:r w:rsidRPr="006C720D">
        <w:t>: How It Happens</w:t>
      </w:r>
      <w:r w:rsidRPr="006C720D">
        <w:rPr>
          <w:i/>
          <w:iCs/>
        </w:rPr>
        <w:t xml:space="preserve"> </w:t>
      </w:r>
    </w:p>
    <w:p w14:paraId="65F2A8D1" w14:textId="77777777" w:rsidR="00DA310D" w:rsidRPr="006C720D" w:rsidRDefault="00000000" w:rsidP="00597943">
      <w:pPr>
        <w:pStyle w:val="Heading1"/>
        <w:rPr>
          <w:lang w:val="en-US"/>
        </w:rPr>
      </w:pPr>
      <w:r w:rsidRPr="006C720D">
        <w:rPr>
          <w:lang w:val="en-US"/>
        </w:rPr>
        <w:t xml:space="preserve">Read #1: </w:t>
      </w:r>
      <w:r w:rsidRPr="006C720D">
        <w:rPr>
          <w:b w:val="0"/>
          <w:bCs w:val="0"/>
          <w:lang w:val="en-US"/>
        </w:rPr>
        <w:t>Understand the Situation, Context or Main Idea (1 min)</w:t>
      </w:r>
    </w:p>
    <w:p w14:paraId="2943503D" w14:textId="77777777" w:rsidR="00DA310D" w:rsidRPr="006C720D" w:rsidRDefault="00000000">
      <w:pPr>
        <w:numPr>
          <w:ilvl w:val="0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Conduct a Shared Reading (one person reads aloud, everyone else reads with them).</w:t>
      </w:r>
    </w:p>
    <w:p w14:paraId="166A06BC" w14:textId="77777777" w:rsidR="00DA310D" w:rsidRPr="006C720D" w:rsidRDefault="00000000">
      <w:pPr>
        <w:numPr>
          <w:ilvl w:val="0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Ask students “what is this situation about?” after the reading.</w:t>
      </w:r>
    </w:p>
    <w:p w14:paraId="7C911437" w14:textId="77777777" w:rsidR="00DA310D" w:rsidRPr="006C720D" w:rsidRDefault="00000000">
      <w:pPr>
        <w:numPr>
          <w:ilvl w:val="0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Identify and resolve any challenges with any non-mathematical vocabulary.</w:t>
      </w:r>
    </w:p>
    <w:p w14:paraId="64C16B7A" w14:textId="77777777" w:rsidR="00DA310D" w:rsidRPr="006C720D" w:rsidRDefault="00000000" w:rsidP="00597943">
      <w:pPr>
        <w:pStyle w:val="Heading1"/>
        <w:rPr>
          <w:lang w:val="en-US"/>
        </w:rPr>
      </w:pPr>
      <w:r w:rsidRPr="006C720D">
        <w:rPr>
          <w:lang w:val="en-US"/>
        </w:rPr>
        <w:t>Read #2:</w:t>
      </w:r>
      <w:r w:rsidRPr="006C720D">
        <w:rPr>
          <w:color w:val="5E6062"/>
          <w:lang w:val="en-US"/>
        </w:rPr>
        <w:t xml:space="preserve"> </w:t>
      </w:r>
      <w:r w:rsidRPr="006C720D">
        <w:rPr>
          <w:b w:val="0"/>
          <w:bCs w:val="0"/>
          <w:lang w:val="en-US"/>
        </w:rPr>
        <w:t>Identify Quantities</w:t>
      </w:r>
      <w:r w:rsidRPr="006C720D">
        <w:rPr>
          <w:lang w:val="en-US"/>
        </w:rPr>
        <w:t xml:space="preserve"> </w:t>
      </w:r>
    </w:p>
    <w:p w14:paraId="6B451DEE" w14:textId="77777777" w:rsidR="00DA310D" w:rsidRPr="006C720D" w:rsidRDefault="00000000">
      <w:pPr>
        <w:numPr>
          <w:ilvl w:val="0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Conduct an Individual, Pairs, or Shared Reading.</w:t>
      </w:r>
    </w:p>
    <w:p w14:paraId="559A21E7" w14:textId="77777777" w:rsidR="00DA310D" w:rsidRPr="006C720D" w:rsidRDefault="00000000">
      <w:pPr>
        <w:numPr>
          <w:ilvl w:val="0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Have students list the things that can be counted or measured.</w:t>
      </w:r>
    </w:p>
    <w:p w14:paraId="1513913C" w14:textId="77777777" w:rsidR="00DA310D" w:rsidRPr="006C720D" w:rsidRDefault="00000000">
      <w:pPr>
        <w:numPr>
          <w:ilvl w:val="1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Encourage them to focus on the names of the quantities, not specific values.</w:t>
      </w:r>
    </w:p>
    <w:p w14:paraId="2AB75702" w14:textId="77777777" w:rsidR="00DA310D" w:rsidRPr="006C720D" w:rsidRDefault="00000000">
      <w:pPr>
        <w:numPr>
          <w:ilvl w:val="0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Urge students to be specific about the quantities rather than discuss their relevance.</w:t>
      </w:r>
    </w:p>
    <w:p w14:paraId="5691A1A5" w14:textId="77777777" w:rsidR="00DA310D" w:rsidRPr="006C720D" w:rsidRDefault="00000000">
      <w:pPr>
        <w:numPr>
          <w:ilvl w:val="1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Examples: “</w:t>
      </w:r>
      <w:r w:rsidRPr="006C720D">
        <w:rPr>
          <w:i/>
          <w:iCs/>
          <w:lang w:val="en-US"/>
        </w:rPr>
        <w:t>number</w:t>
      </w:r>
      <w:r w:rsidRPr="006C720D">
        <w:rPr>
          <w:lang w:val="en-US"/>
        </w:rPr>
        <w:t xml:space="preserve"> of people </w:t>
      </w:r>
      <w:r w:rsidRPr="006C720D">
        <w:rPr>
          <w:i/>
          <w:iCs/>
          <w:lang w:val="en-US"/>
        </w:rPr>
        <w:t>in her family</w:t>
      </w:r>
      <w:r w:rsidRPr="006C720D">
        <w:rPr>
          <w:lang w:val="en-US"/>
        </w:rPr>
        <w:t>” rather than “people,” or “</w:t>
      </w:r>
      <w:r w:rsidRPr="006C720D">
        <w:rPr>
          <w:i/>
          <w:iCs/>
          <w:lang w:val="en-US"/>
        </w:rPr>
        <w:t xml:space="preserve">number </w:t>
      </w:r>
      <w:r w:rsidRPr="006C720D">
        <w:rPr>
          <w:lang w:val="en-US"/>
        </w:rPr>
        <w:t>of markers” instead of “markers”</w:t>
      </w:r>
    </w:p>
    <w:p w14:paraId="2BF32071" w14:textId="77777777" w:rsidR="00DA310D" w:rsidRPr="006C720D" w:rsidRDefault="00000000">
      <w:pPr>
        <w:numPr>
          <w:ilvl w:val="0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Listen for quantities that are explicit (example: 32 apples) in comparison to others which are implicit (example: the time it takes to brush one tooth).</w:t>
      </w:r>
    </w:p>
    <w:p w14:paraId="29305F4D" w14:textId="7A09F1EC" w:rsidR="00DA310D" w:rsidRPr="006C720D" w:rsidRDefault="00000000" w:rsidP="00597943">
      <w:pPr>
        <w:pStyle w:val="Heading1"/>
        <w:rPr>
          <w:lang w:val="en-US"/>
        </w:rPr>
      </w:pPr>
      <w:r w:rsidRPr="006C720D">
        <w:rPr>
          <w:lang w:val="en-US"/>
        </w:rPr>
        <w:t xml:space="preserve">Read #3: </w:t>
      </w:r>
      <w:r w:rsidRPr="006C720D">
        <w:rPr>
          <w:b w:val="0"/>
          <w:bCs w:val="0"/>
          <w:lang w:val="en-US"/>
        </w:rPr>
        <w:t>Final Question or Prompt (1-2 mins)</w:t>
      </w:r>
    </w:p>
    <w:p w14:paraId="3FC4D50E" w14:textId="77777777" w:rsidR="00DA310D" w:rsidRPr="006C720D" w:rsidRDefault="00000000">
      <w:pPr>
        <w:numPr>
          <w:ilvl w:val="0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Conduct an Individual, Pairs, or Shared Reading.</w:t>
      </w:r>
    </w:p>
    <w:p w14:paraId="7D2E49E2" w14:textId="77777777" w:rsidR="00DA310D" w:rsidRPr="006C720D" w:rsidRDefault="00000000">
      <w:pPr>
        <w:numPr>
          <w:ilvl w:val="0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Reveal the final question or prompt.</w:t>
      </w:r>
    </w:p>
    <w:p w14:paraId="73D54E19" w14:textId="77777777" w:rsidR="00DA310D" w:rsidRPr="006C720D" w:rsidRDefault="00000000">
      <w:pPr>
        <w:numPr>
          <w:ilvl w:val="0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Facilitate discussion about possible solution strategies, referencing the relevant quantities recorded after the second read.</w:t>
      </w:r>
    </w:p>
    <w:p w14:paraId="5921FD9B" w14:textId="77777777" w:rsidR="00DA310D" w:rsidRPr="006C720D" w:rsidRDefault="00000000">
      <w:pPr>
        <w:numPr>
          <w:ilvl w:val="0"/>
          <w:numId w:val="1"/>
        </w:numPr>
        <w:spacing w:before="0"/>
        <w:rPr>
          <w:lang w:val="en-US"/>
        </w:rPr>
      </w:pPr>
      <w:r w:rsidRPr="006C720D">
        <w:rPr>
          <w:lang w:val="en-US"/>
        </w:rPr>
        <w:t>Suggest that students create diagrams to represent the relationships among quantities identified in the second read, or to represent the situation with a picture (Asturias, 2014).</w:t>
      </w:r>
    </w:p>
    <w:sectPr w:rsidR="00DA310D" w:rsidRPr="006C720D"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62AD2" w14:textId="77777777" w:rsidR="00D861AB" w:rsidRDefault="00D861AB">
      <w:pPr>
        <w:spacing w:before="0" w:line="240" w:lineRule="auto"/>
      </w:pPr>
      <w:r>
        <w:separator/>
      </w:r>
    </w:p>
  </w:endnote>
  <w:endnote w:type="continuationSeparator" w:id="0">
    <w:p w14:paraId="23832551" w14:textId="77777777" w:rsidR="00D861AB" w:rsidRDefault="00D861A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EA5B904-C3FA-D840-A95A-16CE955FA18F}"/>
    <w:embedBold r:id="rId2" w:fontKey="{0624C5FC-4DE5-6540-A9D1-49AD9743F50F}"/>
    <w:embedBoldItalic r:id="rId3" w:fontKey="{8DAA8035-91ED-0C40-A714-665741AD2154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4" w:fontKey="{1ECC38C4-C72C-BC49-875C-F826FD0E19FE}"/>
    <w:embedBold r:id="rId5" w:fontKey="{3ED835DA-0F2A-2E47-8807-ECA2C35CA991}"/>
    <w:embedItalic r:id="rId6" w:fontKey="{08D8B39A-9869-1549-A8CA-594209059384}"/>
    <w:embedBoldItalic r:id="rId7" w:fontKey="{C01FBE24-EC35-104C-AF5F-102C0031329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5AB58976-812D-5542-A686-C022256D39EF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Bold r:id="rId9" w:fontKey="{90640029-3842-9A46-928F-AFFD96120E3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F872DC0C-EC87-5340-B0B3-BC86CCA4F17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C7D5C291-64C9-FD45-B7C8-A832A8F209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F9E53" w14:textId="77777777" w:rsidR="003508E8" w:rsidRDefault="003508E8" w:rsidP="003508E8">
    <w:proofErr w:type="spellStart"/>
    <w:r>
      <w:t>Openstax</w:t>
    </w:r>
    <w:proofErr w:type="spellEnd"/>
    <w:r>
      <w:t xml:space="preserve"> CC BY NC SA</w:t>
    </w:r>
  </w:p>
  <w:p w14:paraId="79104ED8" w14:textId="77777777" w:rsidR="00DA310D" w:rsidRDefault="00000000">
    <w:pPr>
      <w:shd w:val="clear" w:color="auto" w:fill="auto"/>
      <w:spacing w:before="0"/>
      <w:rPr>
        <w:i/>
        <w:iCs/>
      </w:rPr>
    </w:pPr>
    <w:r>
      <w:rPr>
        <w:i/>
        <w:iCs/>
        <w:color w:val="757575"/>
        <w:sz w:val="18"/>
        <w:szCs w:val="18"/>
      </w:rPr>
      <w:t>MLR for Algebra 1, brought to you by OpenStax</w:t>
    </w:r>
    <w:r>
      <w:rPr>
        <w:color w:val="757575"/>
        <w:sz w:val="18"/>
        <w:szCs w:val="18"/>
      </w:rPr>
      <w:t xml:space="preserve"> </w:t>
    </w:r>
    <w:r>
      <w:rPr>
        <w:i/>
        <w:iCs/>
        <w:color w:val="757575"/>
        <w:sz w:val="16"/>
        <w:szCs w:val="16"/>
      </w:rPr>
      <w:tab/>
    </w:r>
    <w:r>
      <w:rPr>
        <w:i/>
        <w:iCs/>
        <w:color w:val="757575"/>
        <w:sz w:val="16"/>
        <w:szCs w:val="16"/>
      </w:rPr>
      <w:tab/>
    </w:r>
    <w:r>
      <w:rPr>
        <w:i/>
        <w:iCs/>
        <w:color w:val="757575"/>
        <w:sz w:val="18"/>
        <w:szCs w:val="18"/>
      </w:rPr>
      <w:t xml:space="preserve">Adapted from </w:t>
    </w:r>
    <w:proofErr w:type="spellStart"/>
    <w:r>
      <w:rPr>
        <w:i/>
        <w:iCs/>
        <w:color w:val="757575"/>
        <w:sz w:val="18"/>
        <w:szCs w:val="18"/>
      </w:rPr>
      <w:t>Kelemanik</w:t>
    </w:r>
    <w:proofErr w:type="spellEnd"/>
    <w:r>
      <w:rPr>
        <w:i/>
        <w:iCs/>
        <w:color w:val="757575"/>
        <w:sz w:val="18"/>
        <w:szCs w:val="18"/>
      </w:rPr>
      <w:t xml:space="preserve">, </w:t>
    </w:r>
    <w:proofErr w:type="spellStart"/>
    <w:r>
      <w:rPr>
        <w:i/>
        <w:iCs/>
        <w:color w:val="757575"/>
        <w:sz w:val="18"/>
        <w:szCs w:val="18"/>
      </w:rPr>
      <w:t>Lucenta</w:t>
    </w:r>
    <w:proofErr w:type="spellEnd"/>
    <w:r>
      <w:rPr>
        <w:i/>
        <w:iCs/>
        <w:color w:val="757575"/>
        <w:sz w:val="18"/>
        <w:szCs w:val="18"/>
      </w:rPr>
      <w:t>, &amp; Creighton (2016)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DC847" w14:textId="77777777" w:rsidR="00D861AB" w:rsidRDefault="00D861AB">
      <w:pPr>
        <w:spacing w:before="0" w:line="240" w:lineRule="auto"/>
      </w:pPr>
      <w:r>
        <w:separator/>
      </w:r>
    </w:p>
  </w:footnote>
  <w:footnote w:type="continuationSeparator" w:id="0">
    <w:p w14:paraId="7ACDEEF8" w14:textId="77777777" w:rsidR="00D861AB" w:rsidRDefault="00D861A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634B" w14:textId="59446F06" w:rsidR="00DA310D" w:rsidRDefault="003508E8">
    <w:pPr>
      <w:shd w:val="clear" w:color="auto" w:fill="auto"/>
      <w:tabs>
        <w:tab w:val="center" w:pos="4680"/>
        <w:tab w:val="right" w:pos="9360"/>
      </w:tabs>
      <w:spacing w:before="0" w:line="240" w:lineRule="auto"/>
    </w:pPr>
    <w:r>
      <w:rPr>
        <w:noProof/>
      </w:rPr>
      <w:drawing>
        <wp:inline distT="114300" distB="114300" distL="114300" distR="114300" wp14:anchorId="31641A5D" wp14:editId="5953A3BE">
          <wp:extent cx="5943600" cy="635000"/>
          <wp:effectExtent l="0" t="0" r="0" b="0"/>
          <wp:docPr id="1648544566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4A1"/>
    <w:multiLevelType w:val="multilevel"/>
    <w:tmpl w:val="6D82A3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1972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10D"/>
    <w:rsid w:val="003508E8"/>
    <w:rsid w:val="00597943"/>
    <w:rsid w:val="006C720D"/>
    <w:rsid w:val="00D861AB"/>
    <w:rsid w:val="00DA310D"/>
    <w:rsid w:val="00F0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F90D90"/>
  <w15:docId w15:val="{FF0BAAFB-D814-224A-8090-226FDCB5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en" w:eastAsia="en-US" w:bidi="ar-SA"/>
      </w:rPr>
    </w:rPrDefault>
    <w:pPrDefault>
      <w:pPr>
        <w:shd w:val="clear" w:color="auto" w:fill="FFFFFF"/>
        <w:spacing w:before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597943"/>
    <w:pPr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508E8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8E8"/>
    <w:rPr>
      <w:shd w:val="clear" w:color="auto" w:fill="FFFFFF"/>
    </w:rPr>
  </w:style>
  <w:style w:type="paragraph" w:styleId="Footer">
    <w:name w:val="footer"/>
    <w:basedOn w:val="Normal"/>
    <w:link w:val="FooterChar"/>
    <w:uiPriority w:val="99"/>
    <w:unhideWhenUsed/>
    <w:rsid w:val="003508E8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8E8"/>
    <w:rPr>
      <w:shd w:val="clear" w:color="auto" w:fill="FFFFFF"/>
    </w:rPr>
  </w:style>
  <w:style w:type="paragraph" w:customStyle="1" w:styleId="titleconline">
    <w:name w:val="title con line"/>
    <w:basedOn w:val="Title"/>
    <w:qFormat/>
    <w:rsid w:val="00597943"/>
    <w:pPr>
      <w:keepNext w:val="0"/>
      <w:keepLines w:val="0"/>
      <w:pBdr>
        <w:top w:val="single" w:sz="12" w:space="3" w:color="999999"/>
        <w:bottom w:val="single" w:sz="12" w:space="3" w:color="999999"/>
      </w:pBdr>
      <w:shd w:val="clear" w:color="auto" w:fill="auto"/>
      <w:spacing w:before="240" w:after="80"/>
      <w:contextualSpacing/>
      <w:jc w:val="center"/>
    </w:pPr>
    <w:rPr>
      <w:rFonts w:eastAsiaTheme="majorEastAsia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1106</Characters>
  <Application>Microsoft Office Word</Application>
  <DocSecurity>0</DocSecurity>
  <Lines>24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MLR 6 How It Happens</dc:title>
  <dc:subject/>
  <dc:creator>Maddie Tong</dc:creator>
  <cp:keywords/>
  <dc:description/>
  <cp:lastModifiedBy>Maddie Tong</cp:lastModifiedBy>
  <cp:revision>2</cp:revision>
  <dcterms:created xsi:type="dcterms:W3CDTF">2026-02-26T20:24:00Z</dcterms:created>
  <dcterms:modified xsi:type="dcterms:W3CDTF">2026-02-26T20:24:00Z</dcterms:modified>
  <cp:category/>
</cp:coreProperties>
</file>